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EC7BF">
      <w:pPr>
        <w:pStyle w:val="57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 RAN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b/>
          <w:sz w:val="24"/>
        </w:rPr>
        <w:t>RP-25</w:t>
      </w:r>
      <w:r>
        <w:rPr>
          <w:rFonts w:hint="eastAsia"/>
          <w:b/>
          <w:sz w:val="24"/>
          <w:lang w:val="en-US" w:eastAsia="zh-CN"/>
        </w:rPr>
        <w:t>2560</w:t>
      </w:r>
    </w:p>
    <w:p w14:paraId="0D9225A7">
      <w:pPr>
        <w:pStyle w:val="57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Beijing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China, Sep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>-1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, 2025</w:t>
      </w: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>
        <w:rPr>
          <w:rFonts w:hint="eastAsia" w:cs="Arial"/>
          <w:sz w:val="18"/>
          <w:szCs w:val="18"/>
          <w:lang w:eastAsia="zh-CN"/>
        </w:rPr>
        <w:t>2518</w:t>
      </w:r>
      <w:r>
        <w:rPr>
          <w:rFonts w:hint="eastAsia" w:cs="Arial"/>
          <w:sz w:val="18"/>
          <w:szCs w:val="18"/>
          <w:lang w:val="en-US" w:eastAsia="zh-CN"/>
        </w:rPr>
        <w:t>69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DC77411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5CFF9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 w14:paraId="47DD19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: Data collection for SON (Self-Organising Networks)/MDT (Minimization of Drive Tests) in NR Phase 5</w:t>
      </w:r>
    </w:p>
    <w:p w14:paraId="7914624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 w14:paraId="5A106F0B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9</w:t>
      </w:r>
      <w:r>
        <w:rPr>
          <w:rFonts w:hint="eastAsia" w:ascii="Arial" w:hAnsi="Arial"/>
          <w:b/>
          <w:sz w:val="24"/>
          <w:szCs w:val="24"/>
          <w:lang w:eastAsia="zh-CN"/>
        </w:rPr>
        <w:t>.3.3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.1</w:t>
      </w:r>
    </w:p>
    <w:p w14:paraId="7036D736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 w14:paraId="6096B0C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740C9E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7A2A6CF9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Revised</w:t>
      </w:r>
      <w:r>
        <w:rPr>
          <w:sz w:val="32"/>
          <w:szCs w:val="32"/>
        </w:rPr>
        <w:t xml:space="preserve"> WID: </w:t>
      </w:r>
      <w:bookmarkStart w:id="0" w:name="OLE_LINK1"/>
      <w:r>
        <w:rPr>
          <w:sz w:val="32"/>
          <w:szCs w:val="32"/>
        </w:rPr>
        <w:t>Data collection for SON (Self-Organising Networks)/MDT (Minimization of Drive Tests) in NR Phase 5</w:t>
      </w:r>
      <w:bookmarkEnd w:id="0"/>
    </w:p>
    <w:p w14:paraId="482E7747">
      <w:pPr>
        <w:pStyle w:val="90"/>
        <w:rPr>
          <w:lang w:eastAsia="zh-CN"/>
        </w:rPr>
      </w:pPr>
    </w:p>
    <w:p w14:paraId="12D3728E"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sz w:val="32"/>
          <w:szCs w:val="32"/>
        </w:rPr>
        <w:tab/>
      </w:r>
      <w:bookmarkStart w:id="1" w:name="OLE_LINK2"/>
      <w:r>
        <w:rPr>
          <w:sz w:val="32"/>
          <w:szCs w:val="32"/>
        </w:rPr>
        <w:t>NR_SON_MDT_Ph5-Core</w:t>
      </w:r>
      <w:bookmarkEnd w:id="1"/>
    </w:p>
    <w:p w14:paraId="51E80227">
      <w:pPr>
        <w:pStyle w:val="90"/>
      </w:pPr>
    </w:p>
    <w:p w14:paraId="63D7ABA3">
      <w:pPr>
        <w:pStyle w:val="10"/>
        <w:ind w:left="2835" w:hanging="2835"/>
        <w:rPr>
          <w:rFonts w:hint="default"/>
          <w:sz w:val="32"/>
          <w:szCs w:val="32"/>
          <w:lang w:val="en-US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  <w:r>
        <w:rPr>
          <w:rFonts w:hint="eastAsia"/>
          <w:sz w:val="32"/>
          <w:szCs w:val="32"/>
          <w:lang w:val="en-US" w:eastAsia="zh-CN"/>
        </w:rPr>
        <w:t>1081092</w:t>
      </w:r>
    </w:p>
    <w:p w14:paraId="0116DD86">
      <w:pPr>
        <w:pStyle w:val="90"/>
      </w:pPr>
      <w:r>
        <w:t xml:space="preserve">{A number to be provided by MCC at the plenary} </w:t>
      </w:r>
    </w:p>
    <w:p w14:paraId="0835A138"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01CFDCE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 w14:paraId="1F0E30B7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0D4BCD56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 w14:paraId="042E5FCF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 w14:paraId="0680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87BE8AC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62B78A">
            <w:pPr>
              <w:pStyle w:val="52"/>
              <w:jc w:val="center"/>
              <w:rPr>
                <w:b/>
                <w:bCs/>
              </w:rPr>
            </w:pPr>
            <w:r>
              <w:t>X</w:t>
            </w:r>
          </w:p>
        </w:tc>
      </w:tr>
      <w:tr w14:paraId="1DE8E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6BDA709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3A5051F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08752FA4"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553E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D5A3ECD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9B9270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5FBE4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F81DFF0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ECED81A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A9FEFE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3F6A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464C9B7A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C04237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6927812">
            <w:pPr>
              <w:pStyle w:val="52"/>
              <w:jc w:val="center"/>
              <w:rPr>
                <w:b/>
                <w:bCs/>
              </w:rPr>
            </w:pPr>
          </w:p>
        </w:tc>
      </w:tr>
      <w:tr w14:paraId="3D5A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 w14:paraId="6F4E4038"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302DE5E"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1443F44">
            <w:pPr>
              <w:pStyle w:val="52"/>
              <w:jc w:val="center"/>
              <w:rPr>
                <w:b/>
                <w:bCs/>
              </w:rPr>
            </w:pPr>
          </w:p>
        </w:tc>
      </w:tr>
    </w:tbl>
    <w:p w14:paraId="72298353"/>
    <w:p w14:paraId="13B48F29">
      <w:pPr>
        <w:pStyle w:val="10"/>
        <w:rPr>
          <w:sz w:val="32"/>
          <w:szCs w:val="32"/>
          <w:lang w:eastAsia="zh-CN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20</w:t>
      </w:r>
    </w:p>
    <w:p w14:paraId="3C7B0BCA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2"/>
    </w:p>
    <w:p w14:paraId="70ED1F34"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3F251B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43D3EA61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93E6F76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4150EC1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56E612FF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8D6BD28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1D09316">
            <w:pPr>
              <w:pStyle w:val="54"/>
            </w:pPr>
            <w:r>
              <w:t>Others (specify)</w:t>
            </w:r>
          </w:p>
        </w:tc>
      </w:tr>
      <w:tr w14:paraId="53CA7C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53C08CF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E27C0A8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65682A45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691F38"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7632CB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188C24E0">
            <w:pPr>
              <w:pStyle w:val="55"/>
            </w:pPr>
          </w:p>
        </w:tc>
      </w:tr>
      <w:tr w14:paraId="581CF7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23B325C9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6424BD3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4EA7A026">
            <w:pPr>
              <w:pStyle w:val="55"/>
            </w:pPr>
          </w:p>
        </w:tc>
        <w:tc>
          <w:tcPr>
            <w:tcW w:w="0" w:type="auto"/>
          </w:tcPr>
          <w:p w14:paraId="7BC28CCD">
            <w:pPr>
              <w:pStyle w:val="55"/>
            </w:pPr>
          </w:p>
        </w:tc>
        <w:tc>
          <w:tcPr>
            <w:tcW w:w="0" w:type="auto"/>
          </w:tcPr>
          <w:p w14:paraId="1E6F1D6F">
            <w:pPr>
              <w:pStyle w:val="55"/>
            </w:pPr>
          </w:p>
        </w:tc>
        <w:tc>
          <w:tcPr>
            <w:tcW w:w="0" w:type="auto"/>
          </w:tcPr>
          <w:p w14:paraId="2CA36FD2">
            <w:pPr>
              <w:pStyle w:val="55"/>
            </w:pPr>
          </w:p>
        </w:tc>
      </w:tr>
      <w:tr w14:paraId="0CFCB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650B378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E0E4AA3">
            <w:pPr>
              <w:pStyle w:val="55"/>
            </w:pPr>
          </w:p>
        </w:tc>
        <w:tc>
          <w:tcPr>
            <w:tcW w:w="0" w:type="auto"/>
          </w:tcPr>
          <w:p w14:paraId="518CE792">
            <w:pPr>
              <w:pStyle w:val="55"/>
            </w:pPr>
          </w:p>
        </w:tc>
        <w:tc>
          <w:tcPr>
            <w:tcW w:w="0" w:type="auto"/>
          </w:tcPr>
          <w:p w14:paraId="66613A28">
            <w:pPr>
              <w:pStyle w:val="55"/>
            </w:pPr>
          </w:p>
        </w:tc>
        <w:tc>
          <w:tcPr>
            <w:tcW w:w="0" w:type="auto"/>
          </w:tcPr>
          <w:p w14:paraId="5D413DC1"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 w14:paraId="42F73FA4">
            <w:pPr>
              <w:pStyle w:val="55"/>
            </w:pPr>
          </w:p>
        </w:tc>
      </w:tr>
    </w:tbl>
    <w:p w14:paraId="388FF1E4">
      <w:pPr>
        <w:ind w:right="-99"/>
        <w:rPr>
          <w:b/>
        </w:rPr>
      </w:pPr>
    </w:p>
    <w:p w14:paraId="73EBD5CF"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 w14:paraId="1DFF4B77">
      <w:pPr>
        <w:pStyle w:val="4"/>
      </w:pPr>
      <w:r>
        <w:t>2.1</w:t>
      </w:r>
      <w:r>
        <w:tab/>
      </w:r>
      <w:r>
        <w:t>Primary classification</w:t>
      </w:r>
    </w:p>
    <w:p w14:paraId="7BD3FD59"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58560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7040589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6802A2E"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03E36F95"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69F4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A52D9F9"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3B38E8D6"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14:paraId="254C9F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BCD30B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554E5C5E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14:paraId="43B9CE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09BE2F9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860D01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14:paraId="428A5B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43538EE0"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D89423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14:paraId="07412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A7B98EB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1C3768C6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704A4BFD">
      <w:pPr>
        <w:ind w:right="-99"/>
        <w:rPr>
          <w:b/>
        </w:rPr>
      </w:pPr>
    </w:p>
    <w:p w14:paraId="0D354979">
      <w:pPr>
        <w:pStyle w:val="4"/>
      </w:pPr>
      <w:r>
        <w:t>2.2</w:t>
      </w:r>
      <w:r>
        <w:tab/>
      </w:r>
      <w:r>
        <w:t>Parent Work Item</w:t>
      </w:r>
    </w:p>
    <w:p w14:paraId="6A72D2F6">
      <w:pPr>
        <w:pStyle w:val="90"/>
      </w:pPr>
    </w:p>
    <w:p w14:paraId="5406B801"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 w14:paraId="6D93A4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0314" w:type="dxa"/>
            <w:gridSpan w:val="4"/>
            <w:shd w:val="clear" w:color="auto" w:fill="E0E0E0"/>
          </w:tcPr>
          <w:p w14:paraId="740B1530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42471C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 w14:paraId="3E75164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2A498F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B00F96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F59E76A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16FE59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5F186D40">
            <w:pPr>
              <w:pStyle w:val="52"/>
            </w:pPr>
          </w:p>
        </w:tc>
        <w:tc>
          <w:tcPr>
            <w:tcW w:w="1101" w:type="dxa"/>
          </w:tcPr>
          <w:p w14:paraId="1B8A4C4E">
            <w:pPr>
              <w:pStyle w:val="52"/>
            </w:pPr>
          </w:p>
        </w:tc>
        <w:tc>
          <w:tcPr>
            <w:tcW w:w="1101" w:type="dxa"/>
          </w:tcPr>
          <w:p w14:paraId="3D8BC5BE">
            <w:pPr>
              <w:pStyle w:val="52"/>
            </w:pPr>
          </w:p>
        </w:tc>
        <w:tc>
          <w:tcPr>
            <w:tcW w:w="7011" w:type="dxa"/>
          </w:tcPr>
          <w:p w14:paraId="3E36C6C6">
            <w:pPr>
              <w:pStyle w:val="88"/>
            </w:pPr>
          </w:p>
        </w:tc>
      </w:tr>
    </w:tbl>
    <w:p w14:paraId="24A904DC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 w14:paraId="1540C559">
      <w:pPr>
        <w:pStyle w:val="4"/>
      </w:pPr>
      <w:r>
        <w:t>2.3</w:t>
      </w:r>
      <w:r>
        <w:tab/>
      </w:r>
      <w:r>
        <w:t>Other related Work Items and dependencies</w:t>
      </w:r>
    </w:p>
    <w:p w14:paraId="1CD4948B">
      <w:pPr>
        <w:rPr>
          <w:i/>
        </w:rPr>
      </w:pP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17E5AF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668C8C62"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 w14:paraId="759DD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 w14:paraId="0DDB995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592E6156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235CC880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ACC1D3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7F413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6332C97A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FS_LTE_NR_data_collect</w:t>
            </w:r>
          </w:p>
        </w:tc>
        <w:tc>
          <w:tcPr>
            <w:tcW w:w="1134" w:type="dxa"/>
          </w:tcPr>
          <w:p w14:paraId="75481967">
            <w:pPr>
              <w:pStyle w:val="52"/>
            </w:pPr>
            <w:r>
              <w:rPr>
                <w:rFonts w:ascii="Times New Roman" w:hAnsi="Times New Roman" w:eastAsia="Times New Roman"/>
              </w:rPr>
              <w:t>801000</w:t>
            </w:r>
          </w:p>
        </w:tc>
        <w:tc>
          <w:tcPr>
            <w:tcW w:w="3402" w:type="dxa"/>
          </w:tcPr>
          <w:p w14:paraId="0E9FA8DD">
            <w:pPr>
              <w:pStyle w:val="52"/>
            </w:pPr>
            <w:r>
              <w:rPr>
                <w:rFonts w:ascii="Times New Roman" w:hAnsi="Times New Roman" w:eastAsia="Times New Roman"/>
              </w:rPr>
              <w:t>Study on RAN-centric Data Collection and Utilization for LTE and NR</w:t>
            </w:r>
          </w:p>
        </w:tc>
        <w:tc>
          <w:tcPr>
            <w:tcW w:w="4536" w:type="dxa"/>
          </w:tcPr>
          <w:p w14:paraId="5FBEE4D7">
            <w:pPr>
              <w:pStyle w:val="88"/>
            </w:pPr>
            <w:bookmarkStart w:id="3" w:name="OLE_LINK3"/>
            <w:r>
              <w:rPr>
                <w:rFonts w:eastAsia="Times New Roman"/>
                <w:sz w:val="18"/>
                <w:szCs w:val="20"/>
                <w:lang w:val="en-GB"/>
              </w:rPr>
              <w:t>Preceding</w:t>
            </w:r>
            <w:bookmarkEnd w:id="3"/>
            <w:r>
              <w:rPr>
                <w:rFonts w:eastAsia="Times New Roman"/>
                <w:sz w:val="18"/>
                <w:szCs w:val="20"/>
                <w:lang w:val="en-GB"/>
              </w:rPr>
              <w:t xml:space="preserve"> Study Item</w:t>
            </w:r>
          </w:p>
        </w:tc>
      </w:tr>
      <w:tr w14:paraId="67D159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4945DBFA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NR_SON_MDT</w:t>
            </w:r>
          </w:p>
        </w:tc>
        <w:tc>
          <w:tcPr>
            <w:tcW w:w="1134" w:type="dxa"/>
          </w:tcPr>
          <w:p w14:paraId="17A80075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840091</w:t>
            </w:r>
          </w:p>
        </w:tc>
        <w:tc>
          <w:tcPr>
            <w:tcW w:w="3402" w:type="dxa"/>
          </w:tcPr>
          <w:p w14:paraId="0AD1A160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S</w:t>
            </w:r>
            <w:r>
              <w:rPr>
                <w:rFonts w:ascii="Times New Roman" w:hAnsi="Times New Roman" w:eastAsia="Times New Roman"/>
              </w:rPr>
              <w:t>ON</w:t>
            </w:r>
            <w:r>
              <w:rPr>
                <w:rFonts w:hint="eastAsia" w:ascii="Times New Roman" w:hAnsi="Times New Roman" w:eastAsia="Times New Roman"/>
              </w:rPr>
              <w:t>/</w:t>
            </w:r>
            <w:r>
              <w:rPr>
                <w:rFonts w:ascii="Times New Roman" w:hAnsi="Times New Roman" w:eastAsia="Times New Roman"/>
              </w:rPr>
              <w:t xml:space="preserve">MDT </w:t>
            </w:r>
            <w:r>
              <w:rPr>
                <w:rFonts w:hint="eastAsia" w:ascii="Times New Roman" w:hAnsi="Times New Roman" w:eastAsia="Times New Roman"/>
              </w:rPr>
              <w:t xml:space="preserve">support </w:t>
            </w:r>
            <w:r>
              <w:rPr>
                <w:rFonts w:ascii="Times New Roman" w:hAnsi="Times New Roman" w:eastAsia="Times New Roman"/>
              </w:rPr>
              <w:t>for NR</w:t>
            </w:r>
          </w:p>
        </w:tc>
        <w:tc>
          <w:tcPr>
            <w:tcW w:w="4536" w:type="dxa"/>
          </w:tcPr>
          <w:p w14:paraId="1D5E2A81">
            <w:pPr>
              <w:pStyle w:val="88"/>
              <w:rPr>
                <w:i/>
                <w:sz w:val="20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</w:tc>
      </w:tr>
      <w:tr w14:paraId="1B9CB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0D8292A5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</w:t>
            </w:r>
          </w:p>
        </w:tc>
        <w:tc>
          <w:tcPr>
            <w:tcW w:w="1134" w:type="dxa"/>
          </w:tcPr>
          <w:p w14:paraId="5DCA0759">
            <w:pPr>
              <w:pStyle w:val="52"/>
            </w:pPr>
            <w:r>
              <w:fldChar w:fldCharType="begin"/>
            </w:r>
            <w:r>
              <w:instrText xml:space="preserve"> HYPERLINK "https://portal.3gpp.org/desktopmodules/WorkItem/WorkItemDetails.aspx?workitemId=840191" </w:instrText>
            </w:r>
            <w:r>
              <w:fldChar w:fldCharType="separate"/>
            </w:r>
            <w:r>
              <w:rPr>
                <w:rFonts w:ascii="Times New Roman" w:hAnsi="Times New Roman" w:eastAsia="Times New Roman"/>
              </w:rPr>
              <w:t>860053</w:t>
            </w:r>
            <w:r>
              <w:rPr>
                <w:rFonts w:ascii="Times New Roman" w:hAnsi="Times New Roman" w:eastAsia="Times New Roman"/>
              </w:rPr>
              <w:fldChar w:fldCharType="end"/>
            </w:r>
          </w:p>
        </w:tc>
        <w:tc>
          <w:tcPr>
            <w:tcW w:w="3402" w:type="dxa"/>
          </w:tcPr>
          <w:p w14:paraId="34C1CB39">
            <w:pPr>
              <w:pStyle w:val="52"/>
            </w:pPr>
            <w:r>
              <w:rPr>
                <w:rFonts w:ascii="Times New Roman" w:hAnsi="Times New Roman" w:eastAsia="Times New Roman"/>
              </w:rPr>
              <w:t xml:space="preserve">New WID on enhancement of </w:t>
            </w:r>
            <w:bookmarkStart w:id="4" w:name="OLE_LINK10"/>
            <w:r>
              <w:rPr>
                <w:rFonts w:ascii="Times New Roman" w:hAnsi="Times New Roman" w:eastAsia="Times New Roman"/>
              </w:rPr>
              <w:t>data collection for SON/MDT in NR</w:t>
            </w:r>
            <w:bookmarkEnd w:id="4"/>
          </w:p>
        </w:tc>
        <w:tc>
          <w:tcPr>
            <w:tcW w:w="4536" w:type="dxa"/>
          </w:tcPr>
          <w:p w14:paraId="0F85AAFF">
            <w:pPr>
              <w:pStyle w:val="88"/>
              <w:rPr>
                <w:i/>
                <w:sz w:val="20"/>
              </w:rPr>
            </w:pPr>
            <w:bookmarkStart w:id="5" w:name="OLE_LINK4"/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  <w:bookmarkEnd w:id="5"/>
          </w:p>
        </w:tc>
      </w:tr>
      <w:tr w14:paraId="0A4EF8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13361744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NR_ENDC_SON_MDT_enh2-Core</w:t>
            </w:r>
          </w:p>
        </w:tc>
        <w:tc>
          <w:tcPr>
            <w:tcW w:w="1134" w:type="dxa"/>
          </w:tcPr>
          <w:p w14:paraId="3126BCDD">
            <w:pPr>
              <w:pStyle w:val="52"/>
            </w:pPr>
            <w:r>
              <w:rPr>
                <w:rFonts w:ascii="Times New Roman" w:hAnsi="Times New Roman" w:eastAsia="仿宋_GB2312"/>
              </w:rPr>
              <w:t>941107</w:t>
            </w:r>
          </w:p>
        </w:tc>
        <w:tc>
          <w:tcPr>
            <w:tcW w:w="3402" w:type="dxa"/>
          </w:tcPr>
          <w:p w14:paraId="583E4543">
            <w:pPr>
              <w:pStyle w:val="52"/>
            </w:pPr>
            <w:bookmarkStart w:id="6" w:name="OLE_LINK18"/>
            <w:r>
              <w:rPr>
                <w:rFonts w:hint="eastAsia" w:ascii="Times New Roman" w:hAnsi="Times New Roman" w:eastAsia="Times New Roman"/>
              </w:rPr>
              <w:t>New WID on further enhancement of data collection for SON (Self-Organising Networks)/MDT (Minimization of Drive Tests) in NR standalone and MR-DC (Multi-Radio Dual Connectivity)</w:t>
            </w:r>
            <w:bookmarkEnd w:id="6"/>
          </w:p>
        </w:tc>
        <w:tc>
          <w:tcPr>
            <w:tcW w:w="4536" w:type="dxa"/>
          </w:tcPr>
          <w:p w14:paraId="06D5F22E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12113B5F">
            <w:pPr>
              <w:pStyle w:val="88"/>
              <w:rPr>
                <w:i/>
                <w:sz w:val="20"/>
              </w:rPr>
            </w:pPr>
          </w:p>
        </w:tc>
      </w:tr>
      <w:tr w14:paraId="2AA8B3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 w14:paraId="502891BB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NR_ENDC_SON_MDT_Ph4-Core</w:t>
            </w:r>
          </w:p>
        </w:tc>
        <w:tc>
          <w:tcPr>
            <w:tcW w:w="1134" w:type="dxa"/>
          </w:tcPr>
          <w:p w14:paraId="4FD31840">
            <w:pPr>
              <w:pStyle w:val="52"/>
            </w:pPr>
            <w:r>
              <w:rPr>
                <w:rFonts w:hint="eastAsia" w:ascii="Times New Roman" w:hAnsi="Times New Roman" w:eastAsia="仿宋_GB2312"/>
              </w:rPr>
              <w:t>1021092</w:t>
            </w:r>
          </w:p>
        </w:tc>
        <w:tc>
          <w:tcPr>
            <w:tcW w:w="3402" w:type="dxa"/>
          </w:tcPr>
          <w:p w14:paraId="5224A931">
            <w:pPr>
              <w:pStyle w:val="52"/>
            </w:pPr>
            <w:r>
              <w:rPr>
                <w:rFonts w:hint="eastAsia" w:ascii="Times New Roman" w:hAnsi="Times New Roman" w:eastAsia="Times New Roman"/>
              </w:rPr>
              <w:t>New WID on Data collection for SON (Self-Organising Networks</w:t>
            </w:r>
            <w:bookmarkStart w:id="7" w:name="OLE_LINK19"/>
            <w:r>
              <w:rPr>
                <w:rFonts w:hint="eastAsia" w:ascii="Times New Roman" w:hAnsi="Times New Roman" w:eastAsia="Times New Roman"/>
              </w:rPr>
              <w:t>)/MDT (Minimization of Drive Tests) in Phase 4</w:t>
            </w:r>
            <w:bookmarkEnd w:id="7"/>
          </w:p>
        </w:tc>
        <w:tc>
          <w:tcPr>
            <w:tcW w:w="4536" w:type="dxa"/>
          </w:tcPr>
          <w:p w14:paraId="51E999A4">
            <w:pPr>
              <w:pStyle w:val="88"/>
              <w:rPr>
                <w:rFonts w:eastAsia="Times New Roman"/>
                <w:sz w:val="18"/>
                <w:szCs w:val="20"/>
                <w:lang w:val="en-GB"/>
              </w:rPr>
            </w:pPr>
            <w:r>
              <w:rPr>
                <w:rFonts w:eastAsia="Times New Roman"/>
                <w:sz w:val="18"/>
                <w:szCs w:val="20"/>
                <w:lang w:val="en-GB"/>
              </w:rPr>
              <w:t xml:space="preserve">Preceding </w:t>
            </w:r>
            <w:r>
              <w:rPr>
                <w:rFonts w:hint="eastAsia" w:eastAsia="宋体"/>
                <w:sz w:val="18"/>
                <w:szCs w:val="20"/>
                <w:lang w:val="en-GB"/>
              </w:rPr>
              <w:t xml:space="preserve">Work </w:t>
            </w:r>
            <w:r>
              <w:rPr>
                <w:rFonts w:eastAsia="Times New Roman"/>
                <w:sz w:val="18"/>
                <w:szCs w:val="20"/>
                <w:lang w:val="en-GB"/>
              </w:rPr>
              <w:t>Item</w:t>
            </w:r>
          </w:p>
          <w:p w14:paraId="01AC3E09">
            <w:pPr>
              <w:pStyle w:val="88"/>
              <w:rPr>
                <w:i/>
                <w:sz w:val="20"/>
              </w:rPr>
            </w:pPr>
          </w:p>
        </w:tc>
      </w:tr>
    </w:tbl>
    <w:p w14:paraId="4B464288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79C57D5A">
      <w:pPr>
        <w:spacing w:after="0"/>
        <w:ind w:right="-96"/>
        <w:rPr>
          <w:color w:val="0000FF"/>
        </w:rPr>
      </w:pPr>
    </w:p>
    <w:p w14:paraId="4CAA1F07"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 w14:paraId="11D5D930">
      <w:pPr>
        <w:pStyle w:val="29"/>
        <w:rPr>
          <w:rFonts w:eastAsia="宋体"/>
          <w:i w:val="0"/>
        </w:rPr>
      </w:pPr>
      <w:r>
        <w:rPr>
          <w:rFonts w:hint="eastAsia" w:eastAsia="宋体"/>
          <w:i w:val="0"/>
        </w:rPr>
        <w:t>Self-Organising Networks (SON), comprising solutions for network self-configuration and self-optimisation, was initially introduced in LTE and further enhanced for several releases in NR with new features and scenarios. In Rel-19, SON/MDT WI was specified for Rel-18 features which were most likely to be commercial deployment in the future, including Mobility Robustnes</w:t>
      </w:r>
      <w:bookmarkStart w:id="14" w:name="_GoBack"/>
      <w:bookmarkEnd w:id="14"/>
      <w:r>
        <w:rPr>
          <w:rFonts w:hint="eastAsia" w:eastAsia="宋体"/>
          <w:i w:val="0"/>
        </w:rPr>
        <w:t>s Optimisation</w:t>
      </w:r>
      <w:r>
        <w:rPr>
          <w:rFonts w:hint="eastAsia" w:eastAsia="宋体"/>
          <w:i w:val="0"/>
          <w:lang w:val="en-US" w:eastAsia="zh-CN"/>
        </w:rPr>
        <w:t xml:space="preserve"> (</w:t>
      </w:r>
      <w:r>
        <w:rPr>
          <w:rFonts w:hint="eastAsia" w:eastAsia="宋体"/>
          <w:i w:val="0"/>
        </w:rPr>
        <w:t>MRO</w:t>
      </w:r>
      <w:r>
        <w:rPr>
          <w:rFonts w:hint="eastAsia" w:eastAsia="宋体"/>
          <w:i w:val="0"/>
          <w:lang w:val="en-US" w:eastAsia="zh-CN"/>
        </w:rPr>
        <w:t>)</w:t>
      </w:r>
      <w:r>
        <w:rPr>
          <w:rFonts w:hint="eastAsia" w:eastAsia="宋体"/>
          <w:i w:val="0"/>
        </w:rPr>
        <w:t xml:space="preserve"> enhancement for Rel-18 Mobility mechanisms, SON/MDT enhancement for intra-Non</w:t>
      </w:r>
      <w:r>
        <w:rPr>
          <w:rFonts w:hint="eastAsia" w:eastAsia="宋体"/>
          <w:i w:val="0"/>
          <w:lang w:val="en-US" w:eastAsia="zh-CN"/>
        </w:rPr>
        <w:t>-</w:t>
      </w:r>
      <w:r>
        <w:rPr>
          <w:rFonts w:hint="eastAsia" w:eastAsia="宋体"/>
          <w:i w:val="0"/>
        </w:rPr>
        <w:t>Terrestrial Network</w:t>
      </w:r>
      <w:r>
        <w:rPr>
          <w:rFonts w:hint="eastAsia" w:eastAsia="宋体"/>
          <w:i w:val="0"/>
          <w:lang w:val="en-US" w:eastAsia="zh-CN"/>
        </w:rPr>
        <w:t>(</w:t>
      </w:r>
      <w:r>
        <w:rPr>
          <w:rFonts w:hint="eastAsia" w:eastAsia="宋体"/>
          <w:i w:val="0"/>
        </w:rPr>
        <w:t>NTN</w:t>
      </w:r>
      <w:r>
        <w:rPr>
          <w:rFonts w:hint="eastAsia" w:eastAsia="宋体"/>
          <w:i w:val="0"/>
          <w:lang w:val="en-US" w:eastAsia="zh-CN"/>
        </w:rPr>
        <w:t>)</w:t>
      </w:r>
      <w:r>
        <w:rPr>
          <w:rFonts w:hint="eastAsia" w:eastAsia="宋体"/>
          <w:i w:val="0"/>
        </w:rPr>
        <w:t xml:space="preserve"> mobility and network slicing scenarios.</w:t>
      </w:r>
    </w:p>
    <w:p w14:paraId="3D5762B0">
      <w:pPr>
        <w:pStyle w:val="29"/>
        <w:rPr>
          <w:rFonts w:eastAsia="宋体"/>
          <w:i w:val="0"/>
        </w:rPr>
      </w:pPr>
      <w:r>
        <w:rPr>
          <w:rFonts w:hint="eastAsia" w:eastAsia="宋体"/>
          <w:i w:val="0"/>
        </w:rPr>
        <w:t>Considering tangible commercial interests along with stability and technological maturity, Rel-20 plans to consider SON/MDT enhancements for some Rel-18/Rel-19 new features. As a continuation, MRO can be further enhanced on the basis of Rel-19 Mobility enhancement, including inter-Central Unit</w:t>
      </w:r>
      <w:r>
        <w:rPr>
          <w:rFonts w:hint="eastAsia" w:eastAsia="宋体"/>
          <w:i w:val="0"/>
          <w:lang w:val="en-US" w:eastAsia="zh-CN"/>
        </w:rPr>
        <w:t>(</w:t>
      </w:r>
      <w:r>
        <w:rPr>
          <w:rFonts w:hint="eastAsia" w:eastAsia="宋体"/>
          <w:i w:val="0"/>
        </w:rPr>
        <w:t>CU</w:t>
      </w:r>
      <w:r>
        <w:rPr>
          <w:rFonts w:hint="eastAsia" w:eastAsia="宋体"/>
          <w:i w:val="0"/>
          <w:lang w:val="en-US" w:eastAsia="zh-CN"/>
        </w:rPr>
        <w:t>)</w:t>
      </w:r>
      <w:r>
        <w:rPr>
          <w:rFonts w:hint="eastAsia" w:eastAsia="宋体"/>
          <w:i w:val="0"/>
        </w:rPr>
        <w:t xml:space="preserve"> L1/L2 Triggered Mobility</w:t>
      </w:r>
      <w:r>
        <w:rPr>
          <w:rFonts w:hint="eastAsia" w:eastAsia="宋体"/>
          <w:i w:val="0"/>
          <w:lang w:val="en-US" w:eastAsia="zh-CN"/>
        </w:rPr>
        <w:t xml:space="preserve"> (</w:t>
      </w:r>
      <w:r>
        <w:rPr>
          <w:rFonts w:hint="eastAsia" w:eastAsia="宋体"/>
          <w:i w:val="0"/>
        </w:rPr>
        <w:t>LTM</w:t>
      </w:r>
      <w:r>
        <w:rPr>
          <w:rFonts w:hint="eastAsia" w:eastAsia="宋体"/>
          <w:i w:val="0"/>
          <w:lang w:val="en-US" w:eastAsia="zh-CN"/>
        </w:rPr>
        <w:t>)</w:t>
      </w:r>
      <w:r>
        <w:rPr>
          <w:rFonts w:hint="eastAsia" w:eastAsia="宋体"/>
          <w:i w:val="0"/>
        </w:rPr>
        <w:t>, conditional LTM.</w:t>
      </w:r>
    </w:p>
    <w:p w14:paraId="4799479E"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 w14:paraId="265E6D92"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 w14:paraId="7218989F">
      <w:pPr>
        <w:spacing w:before="120" w:line="280" w:lineRule="atLeast"/>
        <w:rPr>
          <w:rFonts w:eastAsia="宋体"/>
        </w:rPr>
      </w:pPr>
      <w:bookmarkStart w:id="8" w:name="OLE_LINK35"/>
      <w:r>
        <w:rPr>
          <w:rFonts w:eastAsia="宋体"/>
        </w:rPr>
        <w:t xml:space="preserve">The objective of this work item is to specify </w:t>
      </w:r>
      <w:r>
        <w:rPr>
          <w:rFonts w:hint="eastAsia" w:eastAsia="宋体"/>
        </w:rPr>
        <w:t xml:space="preserve">data collection enhancement in NR </w:t>
      </w:r>
      <w:r>
        <w:rPr>
          <w:rFonts w:eastAsia="宋体"/>
        </w:rPr>
        <w:t>standalone for SON/MDT purpose</w:t>
      </w:r>
      <w:r>
        <w:rPr>
          <w:rFonts w:hint="eastAsia" w:eastAsia="宋体"/>
        </w:rPr>
        <w:t xml:space="preserve">. </w:t>
      </w:r>
      <w:r>
        <w:rPr>
          <w:rFonts w:eastAsia="宋体"/>
        </w:rPr>
        <w:t>The specific objectives of this work item are:</w:t>
      </w:r>
    </w:p>
    <w:p w14:paraId="2A066E97">
      <w:pPr>
        <w:spacing w:before="120" w:line="280" w:lineRule="atLeast"/>
        <w:rPr>
          <w:rFonts w:eastAsia="宋体"/>
        </w:rPr>
      </w:pPr>
      <w:bookmarkStart w:id="9" w:name="OLE_LINK17"/>
      <w:bookmarkStart w:id="10" w:name="OLE_LINK31"/>
      <w:r>
        <w:rPr>
          <w:rFonts w:eastAsia="宋体"/>
        </w:rPr>
        <w:t>- MRO enhancement for R1</w:t>
      </w:r>
      <w:r>
        <w:rPr>
          <w:rFonts w:hint="eastAsia" w:eastAsia="宋体"/>
        </w:rPr>
        <w:t>9</w:t>
      </w:r>
      <w:r>
        <w:rPr>
          <w:rFonts w:eastAsia="宋体"/>
        </w:rPr>
        <w:t xml:space="preserve"> mobility mechanisms, including</w:t>
      </w:r>
      <w:r>
        <w:rPr>
          <w:rFonts w:hint="eastAsia"/>
        </w:rPr>
        <w:t xml:space="preserve"> </w:t>
      </w:r>
      <w:r>
        <w:rPr>
          <w:rFonts w:hint="eastAsia" w:eastAsia="宋体"/>
        </w:rPr>
        <w:t>inter-CU LTM and intra-CU conditional LTM</w:t>
      </w:r>
      <w:r>
        <w:rPr>
          <w:rFonts w:eastAsia="宋体"/>
        </w:rPr>
        <w:t xml:space="preserve"> [RAN3, RAN2]:</w:t>
      </w:r>
    </w:p>
    <w:p w14:paraId="5D0BA144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Specification of the inter-node information exchange, including possible enhancements </w:t>
      </w:r>
      <w:r>
        <w:rPr>
          <w:rFonts w:hint="eastAsia" w:ascii="Times New Roman" w:hAnsi="Times New Roman" w:eastAsia="宋体" w:cs="Times New Roman"/>
        </w:rPr>
        <w:t>on the existing</w:t>
      </w:r>
      <w:r>
        <w:rPr>
          <w:rFonts w:ascii="Times New Roman" w:hAnsi="Times New Roman" w:eastAsia="宋体" w:cs="Times New Roman"/>
        </w:rPr>
        <w:t xml:space="preserve"> interfaces [RAN3]</w:t>
      </w:r>
    </w:p>
    <w:p w14:paraId="47BC5646">
      <w:pPr>
        <w:pStyle w:val="93"/>
        <w:numPr>
          <w:ilvl w:val="0"/>
          <w:numId w:val="1"/>
        </w:numPr>
        <w:spacing w:before="120" w:line="280" w:lineRule="atLeas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Identify and specify necessary UE reporting to enhance the mobility parameter tuning</w:t>
      </w:r>
      <w:r>
        <w:rPr>
          <w:rFonts w:ascii="Times New Roman" w:hAnsi="Times New Roman" w:eastAsia="宋体" w:cs="Times New Roman"/>
        </w:rPr>
        <w:t> [RAN2]</w:t>
      </w:r>
    </w:p>
    <w:bookmarkEnd w:id="9"/>
    <w:bookmarkEnd w:id="10"/>
    <w:p w14:paraId="11FBE8CB">
      <w:pPr>
        <w:spacing w:before="120" w:line="280" w:lineRule="atLeast"/>
        <w:rPr>
          <w:rFonts w:eastAsia="宋体"/>
        </w:rPr>
      </w:pPr>
      <w:r>
        <w:rPr>
          <w:rFonts w:eastAsia="宋体"/>
        </w:rPr>
        <w:t>If needed, co-operate with RAN1, SA5.</w:t>
      </w:r>
    </w:p>
    <w:bookmarkEnd w:id="8"/>
    <w:p w14:paraId="15A90D25">
      <w:pPr>
        <w:spacing w:after="0"/>
        <w:rPr>
          <w:bCs/>
        </w:rPr>
      </w:pPr>
    </w:p>
    <w:p w14:paraId="4A6487FA"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 w14:paraId="3EA0A7ED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Leave empty if the WI proposal does not contain a RAN performance part.</w:t>
      </w:r>
    </w:p>
    <w:p w14:paraId="6960C2B9">
      <w:pPr>
        <w:spacing w:after="0"/>
      </w:pPr>
    </w:p>
    <w:p w14:paraId="5BD22442">
      <w:pPr>
        <w:spacing w:after="0"/>
      </w:pPr>
    </w:p>
    <w:p w14:paraId="7F412701">
      <w:pPr>
        <w:spacing w:after="0"/>
      </w:pPr>
    </w:p>
    <w:p w14:paraId="3996C308">
      <w:pPr>
        <w:spacing w:after="0"/>
      </w:pPr>
    </w:p>
    <w:p w14:paraId="5DB50BF5"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 w14:paraId="116B8D85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 w14:paraId="672EB87F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F22B1FF"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 w14:paraId="4DD42D13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4E2059B">
      <w:pPr>
        <w:spacing w:after="0"/>
      </w:pPr>
    </w:p>
    <w:p w14:paraId="54731AB5">
      <w:pPr>
        <w:rPr>
          <w:i/>
        </w:rPr>
      </w:pPr>
    </w:p>
    <w:p w14:paraId="2C0593ED"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p w14:paraId="752B4DDB">
      <w:pPr>
        <w:rPr>
          <w:i/>
          <w:iCs/>
        </w:rPr>
      </w:pPr>
      <w:r>
        <w:rPr>
          <w:i/>
          <w:iCs/>
        </w:rPr>
        <w:t>{If this WID covers both stage 2 and stage 3, clearly indicate the different completion dates.}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0387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8E96DE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51121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F78F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217D8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0D92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F91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83F96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9DEC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14:paraId="4C531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53B7B46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7C02DC8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A99C6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A88E05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9E1698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A3B2E2E">
            <w:pPr>
              <w:spacing w:after="0"/>
              <w:rPr>
                <w:i/>
              </w:rPr>
            </w:pPr>
          </w:p>
        </w:tc>
      </w:tr>
      <w:tr w14:paraId="3F58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20214EFE">
            <w:pPr>
              <w:pStyle w:val="52"/>
            </w:pPr>
          </w:p>
        </w:tc>
        <w:tc>
          <w:tcPr>
            <w:tcW w:w="1134" w:type="dxa"/>
          </w:tcPr>
          <w:p w14:paraId="681BD778">
            <w:pPr>
              <w:pStyle w:val="52"/>
            </w:pPr>
          </w:p>
        </w:tc>
        <w:tc>
          <w:tcPr>
            <w:tcW w:w="2409" w:type="dxa"/>
          </w:tcPr>
          <w:p w14:paraId="2E8C0A05">
            <w:pPr>
              <w:pStyle w:val="52"/>
            </w:pPr>
          </w:p>
        </w:tc>
        <w:tc>
          <w:tcPr>
            <w:tcW w:w="993" w:type="dxa"/>
          </w:tcPr>
          <w:p w14:paraId="46117967">
            <w:pPr>
              <w:pStyle w:val="52"/>
            </w:pPr>
          </w:p>
        </w:tc>
        <w:tc>
          <w:tcPr>
            <w:tcW w:w="1074" w:type="dxa"/>
          </w:tcPr>
          <w:p w14:paraId="0BD7AF0F">
            <w:pPr>
              <w:pStyle w:val="52"/>
            </w:pPr>
          </w:p>
        </w:tc>
        <w:tc>
          <w:tcPr>
            <w:tcW w:w="2186" w:type="dxa"/>
          </w:tcPr>
          <w:p w14:paraId="70DF5261">
            <w:pPr>
              <w:pStyle w:val="52"/>
            </w:pPr>
          </w:p>
        </w:tc>
      </w:tr>
    </w:tbl>
    <w:p w14:paraId="192AEB0E">
      <w:pPr>
        <w:pStyle w:val="63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 w:type="textWrapping"/>
      </w:r>
      <w:r>
        <w:rPr>
          <w:i/>
        </w:rPr>
        <w:t>"Internal TR" is intended for 3GPP internal use only whereas "External TR" may be transposed by OPs.}</w:t>
      </w:r>
    </w:p>
    <w:p w14:paraId="397417A1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p w14:paraId="1EA6C3CE">
      <w:pPr>
        <w:pStyle w:val="63"/>
      </w:pP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D6105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6BB93E1C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501C182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705DDFDD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BDD2A7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FF3A045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AE06F1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074DBD7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B054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F8A9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5F0F">
            <w:pPr>
              <w:pStyle w:val="52"/>
              <w:rPr>
                <w:rFonts w:cs="Arial"/>
                <w:szCs w:val="18"/>
              </w:rPr>
            </w:pPr>
            <w:bookmarkStart w:id="11" w:name="OLE_LINK5"/>
            <w:r>
              <w:rPr>
                <w:rFonts w:cs="Arial"/>
                <w:szCs w:val="18"/>
              </w:rPr>
              <w:t>RAN#1</w:t>
            </w:r>
            <w:bookmarkEnd w:id="11"/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D23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90FAF7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A4A76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37.320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29D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E7A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615E4">
            <w:pPr>
              <w:pStyle w:val="52"/>
              <w:rPr>
                <w:rFonts w:cs="Arial"/>
                <w:szCs w:val="18"/>
              </w:rPr>
            </w:pPr>
            <w:bookmarkStart w:id="12" w:name="OLE_LINK7"/>
            <w:bookmarkStart w:id="13" w:name="OLE_LINK6"/>
            <w:r>
              <w:rPr>
                <w:rFonts w:cs="Arial"/>
                <w:szCs w:val="18"/>
              </w:rPr>
              <w:t>Core par</w:t>
            </w:r>
            <w:bookmarkEnd w:id="12"/>
            <w:bookmarkEnd w:id="13"/>
            <w:r>
              <w:rPr>
                <w:rFonts w:cs="Arial"/>
                <w:szCs w:val="18"/>
              </w:rPr>
              <w:t>t</w:t>
            </w:r>
          </w:p>
        </w:tc>
      </w:tr>
      <w:tr w14:paraId="0A584E3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76846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38.314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5283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E0DBD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5496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724C9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94CE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38.306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AC32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88F7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5B74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FC291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B86F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38.331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1636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3163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AB5BF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455E0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B449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2250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D492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FE5E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E8777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B6F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F898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40C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6814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FA552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0BFD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92E02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17FE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6F7C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39109A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8948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279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7FDB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E046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6C87B4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1B533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37.480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7883A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A96B7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2795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2AD7B4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07D8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37.483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4C53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914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E663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0AD001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1A1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38.470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B53D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B0C0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F0F4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  <w:tr w14:paraId="417085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CFBE9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7645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of enhancement of data collection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04CB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RAN#115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E2C01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Core part</w:t>
            </w:r>
          </w:p>
        </w:tc>
      </w:tr>
    </w:tbl>
    <w:p w14:paraId="54897A08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 w14:paraId="6357D9D0"/>
    <w:p w14:paraId="6DACE7D1"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 w14:paraId="61B2C36D">
      <w:pPr>
        <w:rPr>
          <w:color w:val="000000" w:themeColor="text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Dong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Xufei, China Unicom, dongxf37@chinaunicom.cn</w:t>
      </w:r>
    </w:p>
    <w:p w14:paraId="1F62A717"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The first listed Rapporteur has the overall responsibility for this WI (incl all secondary tasks).</w:t>
      </w:r>
    </w:p>
    <w:p w14:paraId="4A249298"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 w14:paraId="2E3A9F1E">
      <w:r>
        <w:t>Primary WG: RAN3</w:t>
      </w:r>
    </w:p>
    <w:p w14:paraId="73608C22">
      <w:r>
        <w:t>Secondary WG: RAN2</w:t>
      </w:r>
    </w:p>
    <w:p w14:paraId="44656AD1"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 w14:paraId="48157BDB"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00BCCF84"/>
    <w:p w14:paraId="34CD1A7B"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p w14:paraId="2CF0706D">
      <w:pPr>
        <w:ind w:right="-99"/>
        <w:rPr>
          <w:i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016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5B2310E0">
            <w:pPr>
              <w:pStyle w:val="54"/>
            </w:pPr>
            <w:r>
              <w:t>Supporting IM name</w:t>
            </w:r>
          </w:p>
        </w:tc>
      </w:tr>
      <w:tr w14:paraId="09BBF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15ABD1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CATT</w:t>
            </w:r>
          </w:p>
        </w:tc>
      </w:tr>
      <w:tr w14:paraId="1A457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282C70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CBN</w:t>
            </w:r>
          </w:p>
        </w:tc>
      </w:tr>
      <w:tr w14:paraId="72BB1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9E50BD3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CMCC</w:t>
            </w:r>
          </w:p>
        </w:tc>
      </w:tr>
      <w:tr w14:paraId="3680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20FA6C2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China Unicom </w:t>
            </w:r>
          </w:p>
        </w:tc>
      </w:tr>
      <w:tr w14:paraId="56F0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26ED59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China Telecom</w:t>
            </w:r>
          </w:p>
        </w:tc>
      </w:tr>
      <w:tr w14:paraId="34EC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7A3180B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CHTTL</w:t>
            </w:r>
          </w:p>
        </w:tc>
      </w:tr>
      <w:tr w14:paraId="422D1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633ADB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Deutsche Telekom</w:t>
            </w:r>
          </w:p>
        </w:tc>
      </w:tr>
      <w:tr w14:paraId="239DD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AF20EB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NTT DOCOMO, Inc</w:t>
            </w:r>
          </w:p>
        </w:tc>
      </w:tr>
      <w:tr w14:paraId="2116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42FF42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Orange</w:t>
            </w:r>
          </w:p>
        </w:tc>
      </w:tr>
      <w:tr w14:paraId="13FE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96C97E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Ericsson</w:t>
            </w:r>
          </w:p>
        </w:tc>
      </w:tr>
      <w:tr w14:paraId="04EC8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F2ACC1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Huawei</w:t>
            </w:r>
          </w:p>
        </w:tc>
      </w:tr>
      <w:tr w14:paraId="66BCF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B146B79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HiSilicon</w:t>
            </w:r>
          </w:p>
        </w:tc>
      </w:tr>
      <w:tr w14:paraId="5D25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B402BFE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ZTE Corporation</w:t>
            </w:r>
          </w:p>
        </w:tc>
      </w:tr>
      <w:tr w14:paraId="0FE4B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35D4E9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Sanechips</w:t>
            </w:r>
          </w:p>
        </w:tc>
      </w:tr>
      <w:tr w14:paraId="32C08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068C8C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vivo</w:t>
            </w:r>
          </w:p>
        </w:tc>
      </w:tr>
      <w:tr w14:paraId="4D95E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D35DF0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Qualcomm</w:t>
            </w:r>
          </w:p>
        </w:tc>
      </w:tr>
      <w:tr w14:paraId="7D25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706676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Nokia</w:t>
            </w:r>
          </w:p>
        </w:tc>
      </w:tr>
      <w:tr w14:paraId="363D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DE53134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NEC</w:t>
            </w:r>
          </w:p>
        </w:tc>
      </w:tr>
      <w:tr w14:paraId="2F4D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5E29AD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NVIDIA </w:t>
            </w:r>
          </w:p>
        </w:tc>
      </w:tr>
      <w:tr w14:paraId="2ADC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25311E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Fujitsu</w:t>
            </w:r>
          </w:p>
        </w:tc>
      </w:tr>
      <w:tr w14:paraId="3F5F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F3791E0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Samsung</w:t>
            </w:r>
          </w:p>
        </w:tc>
      </w:tr>
      <w:tr w14:paraId="5B73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3A69098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Kyocera Corporation</w:t>
            </w:r>
          </w:p>
        </w:tc>
      </w:tr>
      <w:tr w14:paraId="4FE9C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EB59091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Lenovo</w:t>
            </w:r>
          </w:p>
        </w:tc>
      </w:tr>
      <w:tr w14:paraId="0C49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59031B7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Motorola Mobility</w:t>
            </w:r>
          </w:p>
        </w:tc>
      </w:tr>
      <w:tr w14:paraId="6BDFF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23AB7B4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Spreadtrum </w:t>
            </w:r>
          </w:p>
        </w:tc>
      </w:tr>
      <w:tr w14:paraId="2EF2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6896F66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UNISOC</w:t>
            </w:r>
          </w:p>
        </w:tc>
      </w:tr>
      <w:tr w14:paraId="71FC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08F6839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Telefónica </w:t>
            </w:r>
          </w:p>
        </w:tc>
      </w:tr>
      <w:tr w14:paraId="43641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D8B874C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LG Electronics</w:t>
            </w:r>
          </w:p>
        </w:tc>
      </w:tr>
      <w:tr w14:paraId="44B86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AF777C3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Jio Platforms</w:t>
            </w:r>
          </w:p>
        </w:tc>
      </w:tr>
      <w:tr w14:paraId="654B7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73854B9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Xiaomi</w:t>
            </w:r>
          </w:p>
        </w:tc>
      </w:tr>
      <w:tr w14:paraId="63DF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EEC6DAD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Cybercore</w:t>
            </w:r>
          </w:p>
        </w:tc>
      </w:tr>
      <w:tr w14:paraId="690D3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0814214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</w:tr>
      <w:tr w14:paraId="5053C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6AD332A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ITRI</w:t>
            </w:r>
          </w:p>
        </w:tc>
      </w:tr>
      <w:tr w14:paraId="0D63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1AA67DE4">
            <w:pPr>
              <w:pStyle w:val="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Transsion Holding</w:t>
            </w:r>
          </w:p>
        </w:tc>
      </w:tr>
      <w:tr w14:paraId="644F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E79E34F">
            <w:pPr>
              <w:pStyle w:val="52"/>
            </w:pPr>
          </w:p>
        </w:tc>
      </w:tr>
    </w:tbl>
    <w:p w14:paraId="1D278654"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5AFED7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6AD"/>
    <w:rsid w:val="00075FF4"/>
    <w:rsid w:val="0008033E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11A49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69AB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3FE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5206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638C"/>
    <w:rsid w:val="003F7142"/>
    <w:rsid w:val="003F7B3D"/>
    <w:rsid w:val="0040240E"/>
    <w:rsid w:val="0040383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12C"/>
    <w:rsid w:val="00454609"/>
    <w:rsid w:val="00455DE4"/>
    <w:rsid w:val="0046230B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41AED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567A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5B2D"/>
    <w:rsid w:val="007F7421"/>
    <w:rsid w:val="00801F7F"/>
    <w:rsid w:val="00807BCE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17F55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6A"/>
    <w:rsid w:val="00A9489E"/>
    <w:rsid w:val="00A97002"/>
    <w:rsid w:val="00A97A52"/>
    <w:rsid w:val="00AA0D6A"/>
    <w:rsid w:val="00AB58BF"/>
    <w:rsid w:val="00AD0751"/>
    <w:rsid w:val="00AD77C4"/>
    <w:rsid w:val="00AE25BF"/>
    <w:rsid w:val="00AE3CD7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3AAC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5908"/>
    <w:rsid w:val="00CF6810"/>
    <w:rsid w:val="00D06117"/>
    <w:rsid w:val="00D24760"/>
    <w:rsid w:val="00D31CC8"/>
    <w:rsid w:val="00D32678"/>
    <w:rsid w:val="00D44066"/>
    <w:rsid w:val="00D521C1"/>
    <w:rsid w:val="00D6013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151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3D9F"/>
    <w:rsid w:val="00F76BE5"/>
    <w:rsid w:val="00F80690"/>
    <w:rsid w:val="00F83D11"/>
    <w:rsid w:val="00F856F8"/>
    <w:rsid w:val="00F921F1"/>
    <w:rsid w:val="00F94F70"/>
    <w:rsid w:val="00FB127E"/>
    <w:rsid w:val="00FC0804"/>
    <w:rsid w:val="00FC3B6D"/>
    <w:rsid w:val="00FD3A4E"/>
    <w:rsid w:val="00FF3F0C"/>
    <w:rsid w:val="00FF7D68"/>
    <w:rsid w:val="10DD0D2E"/>
    <w:rsid w:val="15466A4B"/>
    <w:rsid w:val="167977A3"/>
    <w:rsid w:val="22460017"/>
    <w:rsid w:val="46903988"/>
    <w:rsid w:val="4CD5095D"/>
    <w:rsid w:val="4CE707CA"/>
    <w:rsid w:val="57794AD2"/>
    <w:rsid w:val="5CAB2F57"/>
    <w:rsid w:val="60991D4A"/>
    <w:rsid w:val="68B86964"/>
    <w:rsid w:val="79A5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99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hAnsiTheme="minorHAnsi" w:cstheme="minorBidi"/>
      <w:kern w:val="2"/>
      <w:sz w:val="21"/>
      <w:szCs w:val="22"/>
      <w:lang w:val="en-US" w:eastAsia="zh-CN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FF0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1391</Words>
  <Characters>7288</Characters>
  <Lines>431</Lines>
  <Paragraphs>311</Paragraphs>
  <TotalTime>3</TotalTime>
  <ScaleCrop>false</ScaleCrop>
  <LinksUpToDate>false</LinksUpToDate>
  <CharactersWithSpaces>8471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2024-10-17T12:20:00Z</dcterms:created>
  <dc:creator>MCC/Alain Sultan</dc:creator>
  <cp:keywords>WID template</cp:keywords>
  <cp:lastModifiedBy>author</cp:lastModifiedBy>
  <cp:lastPrinted>2000-02-29T10:31:00Z</cp:lastPrinted>
  <dcterms:modified xsi:type="dcterms:W3CDTF">2025-09-08T08:53:22Z</dcterms:modified>
  <dc:title>WID Template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2052-12.1.0.22529</vt:lpwstr>
  </property>
  <property fmtid="{D5CDD505-2E9C-101B-9397-08002B2CF9AE}" pid="9" name="ICV">
    <vt:lpwstr>B4113E67F82246BEAA1D70DD34632F3B</vt:lpwstr>
  </property>
  <property fmtid="{D5CDD505-2E9C-101B-9397-08002B2CF9AE}" pid="10" name="KSOTemplateDocerSaveRecord">
    <vt:lpwstr>eyJoZGlkIjoiZDE3NTEyYzUyZWFmNjJhYzE2ODgzNzAyMTJlZWJiNTUiLCJ1c2VySWQiOiIzODg2NDI5NzAifQ==</vt:lpwstr>
  </property>
</Properties>
</file>